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7D71" w14:textId="77777777" w:rsidR="00E03221" w:rsidRDefault="00E03221" w:rsidP="00E03221">
      <w:pPr>
        <w:spacing w:after="0" w:line="276" w:lineRule="auto"/>
        <w:jc w:val="both"/>
        <w:rPr>
          <w:rFonts w:ascii="Arial" w:hAnsi="Arial" w:cs="Arial"/>
          <w:b/>
          <w:sz w:val="21"/>
          <w:szCs w:val="21"/>
          <w:lang w:eastAsia="ko-KR"/>
        </w:rPr>
      </w:pPr>
      <w:r w:rsidRPr="0040011A">
        <w:rPr>
          <w:rFonts w:ascii="Arial" w:eastAsia="Arial" w:hAnsi="Arial" w:cs="Arial"/>
          <w:b/>
          <w:sz w:val="21"/>
          <w:szCs w:val="21"/>
        </w:rPr>
        <w:t xml:space="preserve">Job Title: </w:t>
      </w:r>
      <w:r w:rsidRPr="001F5C67">
        <w:rPr>
          <w:rFonts w:ascii="Arial" w:eastAsia="Arial" w:hAnsi="Arial" w:cs="Arial"/>
          <w:b/>
          <w:sz w:val="21"/>
          <w:szCs w:val="21"/>
        </w:rPr>
        <w:t>Accounting Manager</w:t>
      </w:r>
      <w:r>
        <w:rPr>
          <w:rFonts w:ascii="Arial" w:hAnsi="Arial" w:cs="Arial" w:hint="eastAsia"/>
          <w:b/>
          <w:sz w:val="21"/>
          <w:szCs w:val="21"/>
          <w:lang w:eastAsia="ko-KR"/>
        </w:rPr>
        <w:t xml:space="preserve"> (Accounting Team Leader)</w:t>
      </w:r>
    </w:p>
    <w:p w14:paraId="4B6E4D2A" w14:textId="77777777" w:rsidR="00E03221" w:rsidRDefault="00E03221" w:rsidP="00E03221">
      <w:pPr>
        <w:spacing w:after="0" w:line="276" w:lineRule="auto"/>
        <w:jc w:val="both"/>
        <w:rPr>
          <w:rFonts w:ascii="Arial" w:hAnsi="Arial" w:cs="Arial"/>
          <w:b/>
          <w:sz w:val="21"/>
          <w:szCs w:val="21"/>
          <w:lang w:eastAsia="ko-KR"/>
        </w:rPr>
      </w:pPr>
      <w:r>
        <w:rPr>
          <w:rFonts w:ascii="Arial" w:hAnsi="Arial" w:cs="Arial" w:hint="eastAsia"/>
          <w:b/>
          <w:sz w:val="21"/>
          <w:szCs w:val="21"/>
          <w:lang w:eastAsia="ko-KR"/>
        </w:rPr>
        <w:t xml:space="preserve">Type: </w:t>
      </w:r>
      <w:r w:rsidRPr="009B283B">
        <w:rPr>
          <w:rFonts w:ascii="Arial" w:hAnsi="Arial" w:cs="Arial"/>
          <w:b/>
          <w:sz w:val="21"/>
          <w:szCs w:val="21"/>
          <w:lang w:eastAsia="ko-KR"/>
        </w:rPr>
        <w:t>Full-time</w:t>
      </w:r>
    </w:p>
    <w:p w14:paraId="61931A80" w14:textId="32991574" w:rsidR="00E03221" w:rsidRPr="009B283B" w:rsidRDefault="00E03221" w:rsidP="00E03221">
      <w:pPr>
        <w:spacing w:after="0" w:line="276" w:lineRule="auto"/>
        <w:jc w:val="both"/>
        <w:rPr>
          <w:rFonts w:ascii="Arial" w:hAnsi="Arial" w:cs="Arial" w:hint="eastAsia"/>
          <w:b/>
          <w:sz w:val="21"/>
          <w:szCs w:val="21"/>
          <w:lang w:eastAsia="ko-KR"/>
        </w:rPr>
      </w:pPr>
      <w:r>
        <w:rPr>
          <w:rFonts w:ascii="Arial" w:hAnsi="Arial" w:cs="Arial" w:hint="eastAsia"/>
          <w:b/>
          <w:sz w:val="21"/>
          <w:szCs w:val="21"/>
          <w:lang w:eastAsia="ko-KR"/>
        </w:rPr>
        <w:t xml:space="preserve">Salary </w:t>
      </w:r>
      <w:r w:rsidR="00DF6B7B">
        <w:rPr>
          <w:rFonts w:ascii="Arial" w:hAnsi="Arial" w:cs="Arial"/>
          <w:b/>
          <w:sz w:val="21"/>
          <w:szCs w:val="21"/>
          <w:lang w:eastAsia="ko-KR"/>
        </w:rPr>
        <w:t>Range:</w:t>
      </w:r>
      <w:r w:rsidR="00D00242">
        <w:rPr>
          <w:rFonts w:ascii="Arial" w:hAnsi="Arial" w:cs="Arial" w:hint="eastAsia"/>
          <w:b/>
          <w:sz w:val="21"/>
          <w:szCs w:val="21"/>
          <w:lang w:eastAsia="ko-KR"/>
        </w:rPr>
        <w:t xml:space="preserve"> $100,000 - $150,000</w:t>
      </w:r>
    </w:p>
    <w:p w14:paraId="636C7CF6" w14:textId="77777777" w:rsidR="00E03221" w:rsidRPr="009B283B" w:rsidRDefault="00E03221" w:rsidP="00E03221">
      <w:pPr>
        <w:spacing w:after="0" w:line="276" w:lineRule="auto"/>
        <w:jc w:val="both"/>
        <w:rPr>
          <w:rFonts w:ascii="Arial" w:hAnsi="Arial" w:cs="Arial"/>
          <w:b/>
          <w:sz w:val="21"/>
          <w:szCs w:val="21"/>
          <w:lang w:eastAsia="ko-KR"/>
        </w:rPr>
      </w:pPr>
      <w:r w:rsidRPr="0040011A">
        <w:rPr>
          <w:rFonts w:ascii="Arial" w:eastAsia="Arial" w:hAnsi="Arial" w:cs="Arial"/>
          <w:b/>
          <w:sz w:val="21"/>
          <w:szCs w:val="21"/>
        </w:rPr>
        <w:t>Location: Cambridge, MA</w:t>
      </w:r>
      <w:r>
        <w:rPr>
          <w:rFonts w:ascii="Arial" w:hAnsi="Arial" w:cs="Arial" w:hint="eastAsia"/>
          <w:b/>
          <w:sz w:val="21"/>
          <w:szCs w:val="21"/>
          <w:lang w:eastAsia="ko-KR"/>
        </w:rPr>
        <w:t xml:space="preserve"> (On-site)</w:t>
      </w:r>
    </w:p>
    <w:p w14:paraId="5402C8C0" w14:textId="77777777" w:rsidR="00E03221" w:rsidRPr="0040011A" w:rsidRDefault="00E03221" w:rsidP="00E03221">
      <w:pPr>
        <w:spacing w:after="0" w:line="276" w:lineRule="auto"/>
        <w:jc w:val="both"/>
        <w:rPr>
          <w:rFonts w:ascii="Arial" w:hAnsi="Arial" w:cs="Arial"/>
          <w:b/>
          <w:sz w:val="21"/>
          <w:szCs w:val="21"/>
          <w:highlight w:val="white"/>
          <w:lang w:eastAsia="ko-KR"/>
        </w:rPr>
      </w:pPr>
    </w:p>
    <w:p w14:paraId="09DC505C" w14:textId="77777777" w:rsidR="00E03221" w:rsidRPr="0040011A" w:rsidRDefault="00E03221" w:rsidP="00E03221">
      <w:pPr>
        <w:spacing w:after="0" w:line="276" w:lineRule="auto"/>
        <w:jc w:val="both"/>
        <w:rPr>
          <w:rFonts w:ascii="Arial" w:eastAsia="Arial" w:hAnsi="Arial" w:cs="Arial"/>
          <w:b/>
          <w:sz w:val="21"/>
          <w:szCs w:val="21"/>
          <w:highlight w:val="white"/>
        </w:rPr>
      </w:pPr>
      <w:r w:rsidRPr="0040011A">
        <w:rPr>
          <w:rFonts w:ascii="Arial" w:eastAsia="Arial" w:hAnsi="Arial" w:cs="Arial"/>
          <w:b/>
          <w:sz w:val="21"/>
          <w:szCs w:val="21"/>
          <w:highlight w:val="white"/>
        </w:rPr>
        <w:t>About the Company</w:t>
      </w:r>
    </w:p>
    <w:p w14:paraId="64038E65" w14:textId="77777777" w:rsidR="00E03221" w:rsidRPr="0040011A" w:rsidRDefault="00E03221" w:rsidP="00E03221">
      <w:pPr>
        <w:spacing w:after="0" w:line="276" w:lineRule="auto"/>
        <w:jc w:val="both"/>
        <w:rPr>
          <w:rFonts w:ascii="Arial" w:eastAsia="Arial" w:hAnsi="Arial" w:cs="Arial"/>
          <w:b/>
          <w:sz w:val="21"/>
          <w:szCs w:val="21"/>
          <w:highlight w:val="white"/>
        </w:rPr>
      </w:pPr>
      <w:r w:rsidRPr="0040011A">
        <w:rPr>
          <w:rFonts w:ascii="Arial" w:eastAsia="Arial" w:hAnsi="Arial" w:cs="Arial"/>
          <w:sz w:val="21"/>
          <w:szCs w:val="21"/>
          <w:highlight w:val="white"/>
        </w:rPr>
        <w:t xml:space="preserve">Pinetree Therapeutics, Inc. is a biotech startup developing bispecific antibodies for cancer therapy. Our mission is to deliver on the promise of therapeutic antibodies to treat drug resistant cancers and immune disorders and create the next generation of transformative medicines for patients. We are a group of highly motivated, dedicated professionals working collaboratively in a multi-facetted team with the ultimate goal to improve patient care. Pinetree Therapeutics is located near Fresh Pond, in West Cambridge. </w:t>
      </w:r>
    </w:p>
    <w:p w14:paraId="777AA2A3" w14:textId="77777777" w:rsidR="00E03221" w:rsidRPr="0040011A" w:rsidRDefault="00E03221" w:rsidP="00E03221">
      <w:pPr>
        <w:spacing w:after="0" w:line="276" w:lineRule="auto"/>
        <w:jc w:val="both"/>
        <w:rPr>
          <w:rFonts w:ascii="Arial" w:eastAsia="Arial" w:hAnsi="Arial" w:cs="Arial"/>
          <w:sz w:val="21"/>
          <w:szCs w:val="21"/>
          <w:highlight w:val="white"/>
        </w:rPr>
      </w:pPr>
    </w:p>
    <w:p w14:paraId="36BE4146" w14:textId="77777777" w:rsidR="00E03221" w:rsidRDefault="00E03221" w:rsidP="00E03221">
      <w:pPr>
        <w:spacing w:after="0" w:line="276" w:lineRule="auto"/>
        <w:jc w:val="both"/>
        <w:rPr>
          <w:rFonts w:ascii="Arial" w:hAnsi="Arial" w:cs="Arial"/>
          <w:b/>
          <w:sz w:val="21"/>
          <w:szCs w:val="21"/>
          <w:lang w:eastAsia="ko-KR"/>
        </w:rPr>
      </w:pPr>
      <w:r w:rsidRPr="001F5C67">
        <w:rPr>
          <w:rFonts w:ascii="Arial" w:eastAsia="Arial" w:hAnsi="Arial" w:cs="Arial"/>
          <w:b/>
          <w:sz w:val="21"/>
          <w:szCs w:val="21"/>
        </w:rPr>
        <w:t>Position Summary</w:t>
      </w:r>
    </w:p>
    <w:p w14:paraId="3BDAF039" w14:textId="33A25A01" w:rsidR="00E03221" w:rsidRDefault="00E03221" w:rsidP="00E03221">
      <w:pPr>
        <w:spacing w:after="0" w:line="276" w:lineRule="auto"/>
        <w:jc w:val="both"/>
        <w:rPr>
          <w:rFonts w:ascii="Arial" w:hAnsi="Arial" w:cs="Arial"/>
          <w:sz w:val="21"/>
          <w:szCs w:val="21"/>
          <w:lang w:eastAsia="ko-KR"/>
        </w:rPr>
      </w:pPr>
      <w:r w:rsidRPr="001F5C67">
        <w:rPr>
          <w:rFonts w:ascii="Arial" w:eastAsia="Arial" w:hAnsi="Arial" w:cs="Arial"/>
          <w:sz w:val="21"/>
          <w:szCs w:val="21"/>
        </w:rPr>
        <w:t>We are seeking an experienced and highly motivated Accounting Manager to lead day</w:t>
      </w:r>
      <w:r>
        <w:rPr>
          <w:rFonts w:ascii="Arial" w:hAnsi="Arial" w:cs="Arial" w:hint="eastAsia"/>
          <w:sz w:val="21"/>
          <w:szCs w:val="21"/>
          <w:lang w:eastAsia="ko-KR"/>
        </w:rPr>
        <w:t xml:space="preserve"> </w:t>
      </w:r>
      <w:r w:rsidRPr="001F5C67">
        <w:rPr>
          <w:rFonts w:ascii="Arial" w:eastAsia="Arial" w:hAnsi="Arial" w:cs="Arial"/>
          <w:sz w:val="21"/>
          <w:szCs w:val="21"/>
        </w:rPr>
        <w:t>to</w:t>
      </w:r>
      <w:r>
        <w:rPr>
          <w:rFonts w:ascii="Arial" w:hAnsi="Arial" w:cs="Arial" w:hint="eastAsia"/>
          <w:sz w:val="21"/>
          <w:szCs w:val="21"/>
          <w:lang w:eastAsia="ko-KR"/>
        </w:rPr>
        <w:t xml:space="preserve"> </w:t>
      </w:r>
      <w:r w:rsidRPr="001F5C67">
        <w:rPr>
          <w:rFonts w:ascii="Arial" w:eastAsia="Arial" w:hAnsi="Arial" w:cs="Arial"/>
          <w:sz w:val="21"/>
          <w:szCs w:val="21"/>
        </w:rPr>
        <w:t>day accounting operations and oversee financial reporting activities for our growing organization. This role will be responsible for maintaining the integrity of the company’s financial records, ensuring compliance with U.S. GAAP, strengthening internal controls, and supporting external audits and strategic initiatives such future IPO readiness.</w:t>
      </w:r>
      <w:r>
        <w:rPr>
          <w:rFonts w:ascii="Arial" w:hAnsi="Arial" w:cs="Arial" w:hint="eastAsia"/>
          <w:sz w:val="21"/>
          <w:szCs w:val="21"/>
          <w:lang w:eastAsia="ko-KR"/>
        </w:rPr>
        <w:t xml:space="preserve"> </w:t>
      </w:r>
      <w:r w:rsidRPr="001F5C67">
        <w:rPr>
          <w:rFonts w:ascii="Arial" w:eastAsia="Arial" w:hAnsi="Arial" w:cs="Arial"/>
          <w:sz w:val="21"/>
          <w:szCs w:val="21"/>
        </w:rPr>
        <w:t>The ideal candidate is a hands-on leader who can manage accounting operations while driving process improvements in a fast-paced, high-growth environment.</w:t>
      </w:r>
      <w:r>
        <w:rPr>
          <w:rFonts w:ascii="Arial" w:hAnsi="Arial" w:cs="Arial" w:hint="eastAsia"/>
          <w:sz w:val="21"/>
          <w:szCs w:val="21"/>
          <w:lang w:eastAsia="ko-KR"/>
        </w:rPr>
        <w:t xml:space="preserve"> </w:t>
      </w:r>
    </w:p>
    <w:p w14:paraId="593E93B8" w14:textId="77777777" w:rsidR="00E03221" w:rsidRDefault="00E03221" w:rsidP="00E03221">
      <w:pPr>
        <w:spacing w:after="0" w:line="276" w:lineRule="auto"/>
        <w:jc w:val="both"/>
        <w:rPr>
          <w:rFonts w:ascii="Arial" w:hAnsi="Arial" w:cs="Arial"/>
          <w:b/>
          <w:bCs/>
          <w:color w:val="2D2D2D"/>
          <w:sz w:val="21"/>
          <w:szCs w:val="21"/>
          <w:lang w:val="en-US" w:eastAsia="ko-KR"/>
        </w:rPr>
      </w:pPr>
    </w:p>
    <w:p w14:paraId="50B5F1F4" w14:textId="77777777" w:rsidR="00E03221" w:rsidRPr="009B283B" w:rsidRDefault="00E03221" w:rsidP="00E03221">
      <w:pPr>
        <w:spacing w:after="0" w:line="276" w:lineRule="auto"/>
        <w:jc w:val="both"/>
        <w:rPr>
          <w:rFonts w:ascii="Arial" w:eastAsia="Arial" w:hAnsi="Arial" w:cs="Arial"/>
          <w:b/>
          <w:color w:val="2D2D2D"/>
          <w:sz w:val="21"/>
          <w:szCs w:val="21"/>
          <w:lang w:val="en-US"/>
        </w:rPr>
      </w:pPr>
      <w:r w:rsidRPr="009B283B">
        <w:rPr>
          <w:rFonts w:ascii="Arial" w:eastAsia="Arial" w:hAnsi="Arial" w:cs="Arial"/>
          <w:b/>
          <w:bCs/>
          <w:color w:val="2D2D2D"/>
          <w:sz w:val="21"/>
          <w:szCs w:val="21"/>
          <w:lang w:val="en-US"/>
        </w:rPr>
        <w:t>Key Responsibilities</w:t>
      </w:r>
    </w:p>
    <w:p w14:paraId="6F0FFDFF" w14:textId="77777777" w:rsidR="00E03221" w:rsidRPr="009B283B" w:rsidRDefault="00E03221" w:rsidP="00E03221">
      <w:pPr>
        <w:numPr>
          <w:ilvl w:val="0"/>
          <w:numId w:val="1"/>
        </w:numPr>
        <w:spacing w:after="0" w:line="276" w:lineRule="auto"/>
        <w:jc w:val="both"/>
        <w:rPr>
          <w:rFonts w:ascii="Arial" w:eastAsia="Arial" w:hAnsi="Arial" w:cs="Arial"/>
          <w:bCs/>
          <w:color w:val="2D2D2D"/>
          <w:sz w:val="21"/>
          <w:szCs w:val="21"/>
          <w:lang w:val="en-US"/>
        </w:rPr>
      </w:pPr>
      <w:r w:rsidRPr="009B283B">
        <w:rPr>
          <w:rFonts w:ascii="Arial" w:eastAsia="Arial" w:hAnsi="Arial" w:cs="Arial"/>
          <w:bCs/>
          <w:color w:val="2D2D2D"/>
          <w:sz w:val="21"/>
          <w:szCs w:val="21"/>
          <w:lang w:val="en-US"/>
        </w:rPr>
        <w:t>Lead and oversee all general accounting operations, including general ledger management, journal entry preparation and review, account reconciliations, and monthly/quarterly/year-end close processes.</w:t>
      </w:r>
    </w:p>
    <w:p w14:paraId="5390101A" w14:textId="37290C9A" w:rsidR="00E03221" w:rsidRPr="009B283B" w:rsidRDefault="00E03221" w:rsidP="00E03221">
      <w:pPr>
        <w:numPr>
          <w:ilvl w:val="0"/>
          <w:numId w:val="1"/>
        </w:numPr>
        <w:spacing w:after="0" w:line="276" w:lineRule="auto"/>
        <w:jc w:val="both"/>
        <w:rPr>
          <w:rFonts w:ascii="Arial" w:eastAsia="Arial" w:hAnsi="Arial" w:cs="Arial"/>
          <w:bCs/>
          <w:color w:val="2D2D2D"/>
          <w:sz w:val="21"/>
          <w:szCs w:val="21"/>
          <w:lang w:val="en-US"/>
        </w:rPr>
      </w:pPr>
      <w:r w:rsidRPr="009B283B">
        <w:rPr>
          <w:rFonts w:ascii="Arial" w:eastAsia="Arial" w:hAnsi="Arial" w:cs="Arial"/>
          <w:bCs/>
          <w:color w:val="2D2D2D"/>
          <w:sz w:val="21"/>
          <w:szCs w:val="21"/>
          <w:lang w:val="en-US"/>
        </w:rPr>
        <w:t xml:space="preserve">Ensure the accuracy, completeness, and timeliness of financial statements, management reports, and internal </w:t>
      </w:r>
      <w:r w:rsidR="0048646B">
        <w:rPr>
          <w:rFonts w:ascii="Arial" w:hAnsi="Arial" w:cs="Arial"/>
          <w:bCs/>
          <w:color w:val="2D2D2D"/>
          <w:sz w:val="21"/>
          <w:szCs w:val="21"/>
          <w:lang w:val="en-US" w:eastAsia="ko-KR"/>
        </w:rPr>
        <w:t>accounting</w:t>
      </w:r>
      <w:r w:rsidR="0048646B">
        <w:rPr>
          <w:rFonts w:ascii="Arial" w:hAnsi="Arial" w:cs="Arial" w:hint="eastAsia"/>
          <w:bCs/>
          <w:color w:val="2D2D2D"/>
          <w:sz w:val="21"/>
          <w:szCs w:val="21"/>
          <w:lang w:val="en-US" w:eastAsia="ko-KR"/>
        </w:rPr>
        <w:t xml:space="preserve"> </w:t>
      </w:r>
      <w:r w:rsidR="0048646B">
        <w:rPr>
          <w:rFonts w:ascii="Arial" w:hAnsi="Arial" w:cs="Arial"/>
          <w:bCs/>
          <w:color w:val="2D2D2D"/>
          <w:sz w:val="21"/>
          <w:szCs w:val="21"/>
          <w:lang w:val="en-US" w:eastAsia="ko-KR"/>
        </w:rPr>
        <w:t>system (</w:t>
      </w:r>
      <w:r w:rsidR="0048646B">
        <w:rPr>
          <w:rFonts w:ascii="Arial" w:hAnsi="Arial" w:cs="Arial" w:hint="eastAsia"/>
          <w:bCs/>
          <w:color w:val="2D2D2D"/>
          <w:sz w:val="21"/>
          <w:szCs w:val="21"/>
          <w:lang w:val="en-US" w:eastAsia="ko-KR"/>
        </w:rPr>
        <w:t>QB)</w:t>
      </w:r>
      <w:r w:rsidRPr="009B283B">
        <w:rPr>
          <w:rFonts w:ascii="Arial" w:eastAsia="Arial" w:hAnsi="Arial" w:cs="Arial"/>
          <w:bCs/>
          <w:color w:val="2D2D2D"/>
          <w:sz w:val="21"/>
          <w:szCs w:val="21"/>
          <w:lang w:val="en-US"/>
        </w:rPr>
        <w:t>.</w:t>
      </w:r>
    </w:p>
    <w:p w14:paraId="58C6A802" w14:textId="77777777" w:rsidR="00E03221" w:rsidRPr="009B283B" w:rsidRDefault="00E03221" w:rsidP="00E03221">
      <w:pPr>
        <w:numPr>
          <w:ilvl w:val="0"/>
          <w:numId w:val="1"/>
        </w:numPr>
        <w:spacing w:after="0" w:line="276" w:lineRule="auto"/>
        <w:jc w:val="both"/>
        <w:rPr>
          <w:rFonts w:ascii="Arial" w:eastAsia="Arial" w:hAnsi="Arial" w:cs="Arial"/>
          <w:bCs/>
          <w:color w:val="2D2D2D"/>
          <w:sz w:val="21"/>
          <w:szCs w:val="21"/>
          <w:lang w:val="en-US"/>
        </w:rPr>
      </w:pPr>
      <w:r w:rsidRPr="009B283B">
        <w:rPr>
          <w:rFonts w:ascii="Arial" w:eastAsia="Arial" w:hAnsi="Arial" w:cs="Arial"/>
          <w:bCs/>
          <w:color w:val="2D2D2D"/>
          <w:sz w:val="21"/>
          <w:szCs w:val="21"/>
          <w:lang w:val="en-US"/>
        </w:rPr>
        <w:t>Oversee accounts payable, employee expense reporting, corporate card reconciliations, and payroll-related activities, ensuring compliance with applicable tax and benefit regulations.</w:t>
      </w:r>
    </w:p>
    <w:p w14:paraId="58284A83" w14:textId="77777777" w:rsidR="00E03221" w:rsidRPr="009B283B" w:rsidRDefault="00E03221" w:rsidP="00E03221">
      <w:pPr>
        <w:numPr>
          <w:ilvl w:val="0"/>
          <w:numId w:val="1"/>
        </w:numPr>
        <w:spacing w:after="0" w:line="276" w:lineRule="auto"/>
        <w:jc w:val="both"/>
        <w:rPr>
          <w:rFonts w:ascii="Arial" w:eastAsia="Arial" w:hAnsi="Arial" w:cs="Arial"/>
          <w:bCs/>
          <w:color w:val="2D2D2D"/>
          <w:sz w:val="21"/>
          <w:szCs w:val="21"/>
          <w:lang w:val="en-US"/>
        </w:rPr>
      </w:pPr>
      <w:r w:rsidRPr="009B283B">
        <w:rPr>
          <w:rFonts w:ascii="Arial" w:eastAsia="Arial" w:hAnsi="Arial" w:cs="Arial"/>
          <w:bCs/>
          <w:color w:val="2D2D2D"/>
          <w:sz w:val="21"/>
          <w:szCs w:val="21"/>
          <w:lang w:val="en-US"/>
        </w:rPr>
        <w:t>Develop, maintain, and continuously improve accounting policies, procedures, and internal control frameworks, including proper segregation of duties.</w:t>
      </w:r>
    </w:p>
    <w:p w14:paraId="1CBF721D" w14:textId="77777777" w:rsidR="00E03221" w:rsidRPr="009B283B" w:rsidRDefault="00E03221" w:rsidP="00E03221">
      <w:pPr>
        <w:numPr>
          <w:ilvl w:val="0"/>
          <w:numId w:val="1"/>
        </w:numPr>
        <w:spacing w:after="0" w:line="276" w:lineRule="auto"/>
        <w:jc w:val="both"/>
        <w:rPr>
          <w:rFonts w:ascii="Arial" w:eastAsia="Arial" w:hAnsi="Arial" w:cs="Arial"/>
          <w:bCs/>
          <w:color w:val="2D2D2D"/>
          <w:sz w:val="21"/>
          <w:szCs w:val="21"/>
          <w:lang w:val="en-US"/>
        </w:rPr>
      </w:pPr>
      <w:r w:rsidRPr="009B283B">
        <w:rPr>
          <w:rFonts w:ascii="Arial" w:eastAsia="Arial" w:hAnsi="Arial" w:cs="Arial"/>
          <w:bCs/>
          <w:color w:val="2D2D2D"/>
          <w:sz w:val="21"/>
          <w:szCs w:val="21"/>
          <w:lang w:val="en-US"/>
        </w:rPr>
        <w:t>Act as the primary point of contact for external auditors, tax advisors, and consultants, and lead the company’s annual audit and tax preparation processes.</w:t>
      </w:r>
    </w:p>
    <w:p w14:paraId="778972F0" w14:textId="77777777" w:rsidR="00E03221" w:rsidRPr="009B283B" w:rsidRDefault="00E03221" w:rsidP="00E03221">
      <w:pPr>
        <w:numPr>
          <w:ilvl w:val="0"/>
          <w:numId w:val="1"/>
        </w:numPr>
        <w:spacing w:after="0" w:line="276" w:lineRule="auto"/>
        <w:jc w:val="both"/>
        <w:rPr>
          <w:rFonts w:ascii="Arial" w:eastAsia="Arial" w:hAnsi="Arial" w:cs="Arial"/>
          <w:bCs/>
          <w:color w:val="2D2D2D"/>
          <w:sz w:val="21"/>
          <w:szCs w:val="21"/>
          <w:lang w:val="en-US"/>
        </w:rPr>
      </w:pPr>
      <w:r w:rsidRPr="009B283B">
        <w:rPr>
          <w:rFonts w:ascii="Arial" w:eastAsia="Arial" w:hAnsi="Arial" w:cs="Arial"/>
          <w:bCs/>
          <w:color w:val="2D2D2D"/>
          <w:sz w:val="21"/>
          <w:szCs w:val="21"/>
          <w:lang w:val="en-US"/>
        </w:rPr>
        <w:t>Partner with cross-functional teams (R&amp;D, Operations, HR, and Leadership) to support budgeting, forecasting, cash flow management, and cost allocation activities.</w:t>
      </w:r>
    </w:p>
    <w:p w14:paraId="7151E94A" w14:textId="77777777" w:rsidR="00E03221" w:rsidRPr="0048646B" w:rsidRDefault="00E03221" w:rsidP="00E03221">
      <w:pPr>
        <w:numPr>
          <w:ilvl w:val="0"/>
          <w:numId w:val="1"/>
        </w:numPr>
        <w:spacing w:after="0" w:line="276" w:lineRule="auto"/>
        <w:jc w:val="both"/>
        <w:rPr>
          <w:rFonts w:ascii="Arial" w:eastAsia="Arial" w:hAnsi="Arial" w:cs="Arial"/>
          <w:bCs/>
          <w:color w:val="2D2D2D"/>
          <w:sz w:val="21"/>
          <w:szCs w:val="21"/>
          <w:lang w:val="en-US"/>
        </w:rPr>
      </w:pPr>
      <w:r w:rsidRPr="009B283B">
        <w:rPr>
          <w:rFonts w:ascii="Arial" w:eastAsia="Arial" w:hAnsi="Arial" w:cs="Arial"/>
          <w:bCs/>
          <w:color w:val="2D2D2D"/>
          <w:sz w:val="21"/>
          <w:szCs w:val="21"/>
          <w:lang w:val="en-US"/>
        </w:rPr>
        <w:t>Identify opportunities for process improvements, automation, and operational efficiencies, and lead initiatives to implement best practices</w:t>
      </w:r>
      <w:r>
        <w:rPr>
          <w:rFonts w:ascii="Arial" w:hAnsi="Arial" w:cs="Arial" w:hint="eastAsia"/>
          <w:bCs/>
          <w:color w:val="2D2D2D"/>
          <w:sz w:val="21"/>
          <w:szCs w:val="21"/>
          <w:lang w:val="en-US" w:eastAsia="ko-KR"/>
        </w:rPr>
        <w:t>.</w:t>
      </w:r>
    </w:p>
    <w:p w14:paraId="668FA266" w14:textId="77777777" w:rsidR="0048646B" w:rsidRPr="0048646B" w:rsidRDefault="0048646B" w:rsidP="0048646B">
      <w:pPr>
        <w:numPr>
          <w:ilvl w:val="0"/>
          <w:numId w:val="1"/>
        </w:numPr>
        <w:spacing w:after="0" w:line="276" w:lineRule="auto"/>
        <w:jc w:val="both"/>
        <w:rPr>
          <w:rFonts w:ascii="Arial" w:eastAsia="Arial" w:hAnsi="Arial" w:cs="Arial"/>
          <w:bCs/>
          <w:color w:val="2D2D2D"/>
          <w:sz w:val="21"/>
          <w:szCs w:val="21"/>
          <w:lang w:val="en-US"/>
        </w:rPr>
      </w:pPr>
      <w:r w:rsidRPr="0048646B">
        <w:rPr>
          <w:rFonts w:ascii="Arial" w:eastAsia="Arial" w:hAnsi="Arial" w:cs="Arial"/>
          <w:bCs/>
          <w:color w:val="2D2D2D"/>
          <w:sz w:val="21"/>
          <w:szCs w:val="21"/>
          <w:lang w:val="en-US"/>
        </w:rPr>
        <w:t>Lead and support the implementation of accounting and finance-related systems and solutions, including requirements definition, data migration, testing, and process optimization</w:t>
      </w:r>
      <w:r w:rsidRPr="0048646B">
        <w:rPr>
          <w:rFonts w:ascii="Arial" w:hAnsi="Arial" w:cs="Arial" w:hint="eastAsia"/>
          <w:bCs/>
          <w:color w:val="2D2D2D"/>
          <w:sz w:val="21"/>
          <w:szCs w:val="21"/>
          <w:lang w:val="en-US" w:eastAsia="ko-KR"/>
        </w:rPr>
        <w:t>.</w:t>
      </w:r>
    </w:p>
    <w:p w14:paraId="467A8D68" w14:textId="1C474507" w:rsidR="0048646B" w:rsidRPr="0048646B" w:rsidRDefault="0048646B" w:rsidP="0048646B">
      <w:pPr>
        <w:numPr>
          <w:ilvl w:val="0"/>
          <w:numId w:val="1"/>
        </w:numPr>
        <w:spacing w:after="0" w:line="276" w:lineRule="auto"/>
        <w:jc w:val="both"/>
        <w:rPr>
          <w:rFonts w:ascii="Arial" w:eastAsia="Arial" w:hAnsi="Arial" w:cs="Arial"/>
          <w:bCs/>
          <w:color w:val="2D2D2D"/>
          <w:sz w:val="21"/>
          <w:szCs w:val="21"/>
          <w:lang w:val="en-US"/>
        </w:rPr>
      </w:pPr>
      <w:r w:rsidRPr="0048646B">
        <w:rPr>
          <w:rFonts w:ascii="Arial" w:eastAsia="Arial" w:hAnsi="Arial" w:cs="Arial"/>
          <w:bCs/>
          <w:color w:val="2D2D2D"/>
          <w:sz w:val="21"/>
          <w:szCs w:val="21"/>
          <w:lang w:val="en-US"/>
        </w:rPr>
        <w:t>Support strategic corporate initiatives such as fundraising activities, investor reporting, and IPO / pre-IPO readiness, including enhanced reporting and compliance requirements.</w:t>
      </w:r>
    </w:p>
    <w:p w14:paraId="6E6FA7C7" w14:textId="77777777" w:rsidR="00E03221" w:rsidRDefault="00E03221" w:rsidP="00E03221">
      <w:pPr>
        <w:spacing w:after="0" w:line="276" w:lineRule="auto"/>
        <w:jc w:val="both"/>
        <w:rPr>
          <w:rFonts w:ascii="Arial" w:hAnsi="Arial" w:cs="Arial"/>
          <w:b/>
          <w:bCs/>
          <w:color w:val="2D2D2D"/>
          <w:sz w:val="21"/>
          <w:szCs w:val="21"/>
          <w:lang w:val="en-US" w:eastAsia="ko-KR"/>
        </w:rPr>
      </w:pPr>
    </w:p>
    <w:p w14:paraId="4C846CB6" w14:textId="77777777" w:rsidR="00E03221" w:rsidRPr="009B283B" w:rsidRDefault="00E03221" w:rsidP="00E03221">
      <w:pPr>
        <w:spacing w:after="0" w:line="276" w:lineRule="auto"/>
        <w:jc w:val="both"/>
        <w:rPr>
          <w:rFonts w:ascii="Arial" w:eastAsia="Arial" w:hAnsi="Arial" w:cs="Arial"/>
          <w:b/>
          <w:bCs/>
          <w:color w:val="2D2D2D"/>
          <w:sz w:val="21"/>
          <w:szCs w:val="21"/>
          <w:lang w:val="en-US"/>
        </w:rPr>
      </w:pPr>
      <w:r w:rsidRPr="009B283B">
        <w:rPr>
          <w:rFonts w:ascii="Arial" w:eastAsia="Arial" w:hAnsi="Arial" w:cs="Arial"/>
          <w:b/>
          <w:bCs/>
          <w:color w:val="2D2D2D"/>
          <w:sz w:val="21"/>
          <w:szCs w:val="21"/>
          <w:lang w:val="en-US"/>
        </w:rPr>
        <w:t>Skills &amp; Qualifications</w:t>
      </w:r>
    </w:p>
    <w:p w14:paraId="0F4B5FDB" w14:textId="102829A5" w:rsidR="00E03221" w:rsidRPr="009B283B" w:rsidRDefault="00E03221" w:rsidP="00E03221">
      <w:pPr>
        <w:numPr>
          <w:ilvl w:val="0"/>
          <w:numId w:val="2"/>
        </w:numPr>
        <w:spacing w:after="0" w:line="276" w:lineRule="auto"/>
        <w:jc w:val="both"/>
        <w:rPr>
          <w:rFonts w:ascii="Arial" w:eastAsia="Arial" w:hAnsi="Arial" w:cs="Arial"/>
          <w:color w:val="2D2D2D"/>
          <w:sz w:val="21"/>
          <w:szCs w:val="21"/>
          <w:lang w:val="en-US"/>
        </w:rPr>
      </w:pPr>
      <w:r w:rsidRPr="009B283B">
        <w:rPr>
          <w:rFonts w:ascii="Arial" w:eastAsia="Arial" w:hAnsi="Arial" w:cs="Arial"/>
          <w:color w:val="2D2D2D"/>
          <w:sz w:val="21"/>
          <w:szCs w:val="21"/>
          <w:lang w:val="en-US"/>
        </w:rPr>
        <w:t>Bachelor’s degree in Accounting, Finance, or related field</w:t>
      </w:r>
      <w:r w:rsidR="00FF6E77">
        <w:rPr>
          <w:rFonts w:ascii="Arial" w:hAnsi="Arial" w:cs="Arial" w:hint="eastAsia"/>
          <w:color w:val="2D2D2D"/>
          <w:sz w:val="21"/>
          <w:szCs w:val="21"/>
          <w:lang w:val="en-US" w:eastAsia="ko-KR"/>
        </w:rPr>
        <w:t>.</w:t>
      </w:r>
    </w:p>
    <w:p w14:paraId="59A910F3" w14:textId="77321E8B" w:rsidR="00E03221" w:rsidRPr="009B283B" w:rsidRDefault="00E03221" w:rsidP="00E03221">
      <w:pPr>
        <w:numPr>
          <w:ilvl w:val="0"/>
          <w:numId w:val="2"/>
        </w:numPr>
        <w:spacing w:after="0" w:line="276" w:lineRule="auto"/>
        <w:jc w:val="both"/>
        <w:rPr>
          <w:rFonts w:ascii="Arial" w:eastAsia="Arial" w:hAnsi="Arial" w:cs="Arial"/>
          <w:color w:val="2D2D2D"/>
          <w:sz w:val="21"/>
          <w:szCs w:val="21"/>
          <w:lang w:val="en-US"/>
        </w:rPr>
      </w:pPr>
      <w:r w:rsidRPr="009B283B">
        <w:rPr>
          <w:rFonts w:ascii="Arial" w:eastAsia="Arial" w:hAnsi="Arial" w:cs="Arial"/>
          <w:color w:val="2D2D2D"/>
          <w:sz w:val="21"/>
          <w:szCs w:val="21"/>
          <w:lang w:val="en-US"/>
        </w:rPr>
        <w:lastRenderedPageBreak/>
        <w:t xml:space="preserve">Minimum </w:t>
      </w:r>
      <w:r w:rsidR="00D00242">
        <w:rPr>
          <w:rFonts w:ascii="Arial" w:hAnsi="Arial" w:cs="Arial" w:hint="eastAsia"/>
          <w:color w:val="2D2D2D"/>
          <w:sz w:val="21"/>
          <w:szCs w:val="21"/>
          <w:lang w:val="en-US" w:eastAsia="ko-KR"/>
        </w:rPr>
        <w:t>10</w:t>
      </w:r>
      <w:r w:rsidRPr="009B283B">
        <w:rPr>
          <w:rFonts w:ascii="Arial" w:eastAsia="Arial" w:hAnsi="Arial" w:cs="Arial"/>
          <w:color w:val="2D2D2D"/>
          <w:sz w:val="21"/>
          <w:szCs w:val="21"/>
          <w:lang w:val="en-US"/>
        </w:rPr>
        <w:t>+ years of progressive accounting experience, preferably in biotech, pharma, or startup environments.</w:t>
      </w:r>
    </w:p>
    <w:p w14:paraId="45FC238D" w14:textId="77777777" w:rsidR="00E03221" w:rsidRPr="009B283B" w:rsidRDefault="00E03221" w:rsidP="00E03221">
      <w:pPr>
        <w:numPr>
          <w:ilvl w:val="0"/>
          <w:numId w:val="2"/>
        </w:numPr>
        <w:spacing w:after="0" w:line="276" w:lineRule="auto"/>
        <w:jc w:val="both"/>
        <w:rPr>
          <w:rFonts w:ascii="Arial" w:eastAsia="Arial" w:hAnsi="Arial" w:cs="Arial"/>
          <w:color w:val="2D2D2D"/>
          <w:sz w:val="21"/>
          <w:szCs w:val="21"/>
          <w:lang w:val="en-US"/>
        </w:rPr>
      </w:pPr>
      <w:r w:rsidRPr="009B283B">
        <w:rPr>
          <w:rFonts w:ascii="Arial" w:eastAsia="Arial" w:hAnsi="Arial" w:cs="Arial"/>
          <w:color w:val="2D2D2D"/>
          <w:sz w:val="21"/>
          <w:szCs w:val="21"/>
          <w:lang w:val="en-US"/>
        </w:rPr>
        <w:t>Strong knowledge of U.S. GAAP and internal control frameworks.</w:t>
      </w:r>
    </w:p>
    <w:p w14:paraId="43D1E566" w14:textId="665A6187" w:rsidR="00883939" w:rsidRPr="00883939" w:rsidRDefault="00883939" w:rsidP="00E03221">
      <w:pPr>
        <w:numPr>
          <w:ilvl w:val="0"/>
          <w:numId w:val="2"/>
        </w:numPr>
        <w:spacing w:after="0" w:line="276" w:lineRule="auto"/>
        <w:jc w:val="both"/>
        <w:rPr>
          <w:rFonts w:ascii="Arial" w:eastAsia="Arial" w:hAnsi="Arial" w:cs="Arial"/>
          <w:color w:val="2D2D2D"/>
          <w:sz w:val="21"/>
          <w:szCs w:val="21"/>
          <w:lang w:val="en-US"/>
        </w:rPr>
      </w:pPr>
      <w:r w:rsidRPr="00883939">
        <w:rPr>
          <w:rFonts w:ascii="Arial" w:eastAsia="Arial" w:hAnsi="Arial" w:cs="Arial"/>
          <w:color w:val="2D2D2D"/>
          <w:sz w:val="21"/>
          <w:szCs w:val="21"/>
        </w:rPr>
        <w:t>Experience managing monthly, quarterly, and annual close processes and supporting financial statement audits</w:t>
      </w:r>
      <w:r>
        <w:rPr>
          <w:rFonts w:ascii="Arial" w:hAnsi="Arial" w:cs="Arial" w:hint="eastAsia"/>
          <w:color w:val="2D2D2D"/>
          <w:sz w:val="21"/>
          <w:szCs w:val="21"/>
          <w:lang w:eastAsia="ko-KR"/>
        </w:rPr>
        <w:t>.</w:t>
      </w:r>
    </w:p>
    <w:p w14:paraId="38A5B3E8" w14:textId="7AC07192" w:rsidR="00E03221" w:rsidRPr="009B283B" w:rsidRDefault="00E03221" w:rsidP="00E03221">
      <w:pPr>
        <w:numPr>
          <w:ilvl w:val="0"/>
          <w:numId w:val="2"/>
        </w:numPr>
        <w:spacing w:after="0" w:line="276" w:lineRule="auto"/>
        <w:jc w:val="both"/>
        <w:rPr>
          <w:rFonts w:ascii="Arial" w:eastAsia="Arial" w:hAnsi="Arial" w:cs="Arial"/>
          <w:color w:val="2D2D2D"/>
          <w:sz w:val="21"/>
          <w:szCs w:val="21"/>
          <w:lang w:val="en-US"/>
        </w:rPr>
      </w:pPr>
      <w:r w:rsidRPr="009B283B">
        <w:rPr>
          <w:rFonts w:ascii="Arial" w:eastAsia="Arial" w:hAnsi="Arial" w:cs="Arial"/>
          <w:color w:val="2D2D2D"/>
          <w:sz w:val="21"/>
          <w:szCs w:val="21"/>
          <w:lang w:val="en-US"/>
        </w:rPr>
        <w:t>Proficiency with accounting systems and advanced Excel skills.</w:t>
      </w:r>
    </w:p>
    <w:p w14:paraId="47F39A08" w14:textId="77777777" w:rsidR="00E03221" w:rsidRPr="009B283B" w:rsidRDefault="00E03221" w:rsidP="00E03221">
      <w:pPr>
        <w:numPr>
          <w:ilvl w:val="0"/>
          <w:numId w:val="2"/>
        </w:numPr>
        <w:spacing w:after="0" w:line="276" w:lineRule="auto"/>
        <w:jc w:val="both"/>
        <w:rPr>
          <w:rFonts w:ascii="Arial" w:eastAsia="Arial" w:hAnsi="Arial" w:cs="Arial"/>
          <w:color w:val="2D2D2D"/>
          <w:sz w:val="21"/>
          <w:szCs w:val="21"/>
          <w:lang w:val="en-US"/>
        </w:rPr>
      </w:pPr>
      <w:r w:rsidRPr="009B283B">
        <w:rPr>
          <w:rFonts w:ascii="Arial" w:eastAsia="Arial" w:hAnsi="Arial" w:cs="Arial"/>
          <w:color w:val="2D2D2D"/>
          <w:sz w:val="21"/>
          <w:szCs w:val="21"/>
          <w:lang w:val="en-US"/>
        </w:rPr>
        <w:t>Strong organizational, analytical, and leadership capabilities.</w:t>
      </w:r>
    </w:p>
    <w:p w14:paraId="6768FB12" w14:textId="77777777" w:rsidR="00E03221" w:rsidRPr="009B283B" w:rsidRDefault="00E03221" w:rsidP="00E03221">
      <w:pPr>
        <w:numPr>
          <w:ilvl w:val="0"/>
          <w:numId w:val="2"/>
        </w:numPr>
        <w:spacing w:after="0" w:line="276" w:lineRule="auto"/>
        <w:jc w:val="both"/>
        <w:rPr>
          <w:rFonts w:ascii="Arial" w:eastAsia="Arial" w:hAnsi="Arial" w:cs="Arial"/>
          <w:color w:val="2D2D2D"/>
          <w:sz w:val="21"/>
          <w:szCs w:val="21"/>
          <w:lang w:val="en-US"/>
        </w:rPr>
      </w:pPr>
      <w:r w:rsidRPr="009B283B">
        <w:rPr>
          <w:rFonts w:ascii="Arial" w:eastAsia="Arial" w:hAnsi="Arial" w:cs="Arial"/>
          <w:color w:val="2D2D2D"/>
          <w:sz w:val="21"/>
          <w:szCs w:val="21"/>
          <w:lang w:val="en-US"/>
        </w:rPr>
        <w:t>Excellent written and verbal communication skills.</w:t>
      </w:r>
    </w:p>
    <w:p w14:paraId="4174DD65" w14:textId="77777777" w:rsidR="00E03221" w:rsidRPr="009B283B" w:rsidRDefault="00E03221" w:rsidP="00E03221">
      <w:pPr>
        <w:numPr>
          <w:ilvl w:val="0"/>
          <w:numId w:val="2"/>
        </w:numPr>
        <w:spacing w:after="0" w:line="276" w:lineRule="auto"/>
        <w:jc w:val="both"/>
        <w:rPr>
          <w:rFonts w:ascii="Arial" w:eastAsia="Arial" w:hAnsi="Arial" w:cs="Arial"/>
          <w:color w:val="2D2D2D"/>
          <w:sz w:val="21"/>
          <w:szCs w:val="21"/>
          <w:lang w:val="en-US"/>
        </w:rPr>
      </w:pPr>
      <w:r w:rsidRPr="009B283B">
        <w:rPr>
          <w:rFonts w:ascii="Arial" w:eastAsia="Arial" w:hAnsi="Arial" w:cs="Arial"/>
          <w:color w:val="2D2D2D"/>
          <w:sz w:val="21"/>
          <w:szCs w:val="21"/>
          <w:lang w:val="en-US"/>
        </w:rPr>
        <w:t>Fluency in Korean and English required.</w:t>
      </w:r>
    </w:p>
    <w:p w14:paraId="3B5E4F32" w14:textId="77777777" w:rsidR="00E03221" w:rsidRPr="009B283B" w:rsidRDefault="00E03221" w:rsidP="00E03221">
      <w:pPr>
        <w:spacing w:before="280" w:after="280" w:line="276" w:lineRule="auto"/>
        <w:jc w:val="both"/>
        <w:rPr>
          <w:rFonts w:ascii="Arial" w:hAnsi="Arial" w:cs="Arial"/>
          <w:b/>
          <w:bCs/>
          <w:color w:val="202124"/>
          <w:sz w:val="21"/>
          <w:szCs w:val="21"/>
          <w:lang w:val="en-US" w:eastAsia="ko-KR"/>
        </w:rPr>
      </w:pPr>
      <w:r w:rsidRPr="009B283B">
        <w:rPr>
          <w:rFonts w:ascii="Arial" w:hAnsi="Arial" w:cs="Arial"/>
          <w:b/>
          <w:bCs/>
          <w:color w:val="202124"/>
          <w:sz w:val="21"/>
          <w:szCs w:val="21"/>
          <w:lang w:val="en-US" w:eastAsia="ko-KR"/>
        </w:rPr>
        <w:t>Preferred Qualifications</w:t>
      </w:r>
    </w:p>
    <w:p w14:paraId="72DBC29A" w14:textId="731B8B02" w:rsidR="00FF6E77" w:rsidRPr="00FF6E77" w:rsidRDefault="00FF6E77" w:rsidP="00E03221">
      <w:pPr>
        <w:numPr>
          <w:ilvl w:val="0"/>
          <w:numId w:val="2"/>
        </w:numPr>
        <w:spacing w:after="0" w:line="276" w:lineRule="auto"/>
        <w:jc w:val="both"/>
        <w:rPr>
          <w:rFonts w:ascii="Arial" w:eastAsia="Arial" w:hAnsi="Arial" w:cs="Arial"/>
          <w:color w:val="2D2D2D"/>
          <w:sz w:val="21"/>
          <w:szCs w:val="21"/>
          <w:lang w:val="en-US"/>
        </w:rPr>
      </w:pPr>
      <w:r w:rsidRPr="00FF6E77">
        <w:rPr>
          <w:rFonts w:ascii="Arial" w:eastAsia="Arial" w:hAnsi="Arial" w:cs="Arial"/>
          <w:color w:val="2D2D2D"/>
          <w:sz w:val="21"/>
          <w:szCs w:val="21"/>
          <w:lang w:val="en-US"/>
        </w:rPr>
        <w:t>CPA preferred</w:t>
      </w:r>
      <w:r w:rsidR="00883939">
        <w:rPr>
          <w:rFonts w:ascii="Arial" w:hAnsi="Arial" w:cs="Arial" w:hint="eastAsia"/>
          <w:color w:val="2D2D2D"/>
          <w:sz w:val="21"/>
          <w:szCs w:val="21"/>
          <w:lang w:val="en-US" w:eastAsia="ko-KR"/>
        </w:rPr>
        <w:t>.</w:t>
      </w:r>
    </w:p>
    <w:p w14:paraId="59B38B16" w14:textId="6FD2538A" w:rsidR="0048646B" w:rsidRPr="0048646B" w:rsidRDefault="0048646B" w:rsidP="00E03221">
      <w:pPr>
        <w:numPr>
          <w:ilvl w:val="0"/>
          <w:numId w:val="2"/>
        </w:numPr>
        <w:spacing w:after="0" w:line="276" w:lineRule="auto"/>
        <w:jc w:val="both"/>
        <w:rPr>
          <w:rFonts w:ascii="Arial" w:eastAsia="Arial" w:hAnsi="Arial" w:cs="Arial"/>
          <w:color w:val="2D2D2D"/>
          <w:sz w:val="21"/>
          <w:szCs w:val="21"/>
          <w:lang w:val="en-US"/>
        </w:rPr>
      </w:pPr>
      <w:r w:rsidRPr="0048646B">
        <w:rPr>
          <w:rFonts w:ascii="Arial" w:eastAsia="Arial" w:hAnsi="Arial" w:cs="Arial"/>
          <w:color w:val="2D2D2D"/>
          <w:sz w:val="21"/>
          <w:szCs w:val="21"/>
        </w:rPr>
        <w:t>Experience using or implementing accounting and finance-related solutions (e.g., NetSuite or SAP for ERP, Prendio or Coupa for procurement, and Carta for cap table management, or similar systems and solutions) is preferred.</w:t>
      </w:r>
    </w:p>
    <w:p w14:paraId="2621E88D" w14:textId="19DD4BD9" w:rsidR="00E03221" w:rsidRPr="009B283B" w:rsidRDefault="00E03221" w:rsidP="00E03221">
      <w:pPr>
        <w:numPr>
          <w:ilvl w:val="0"/>
          <w:numId w:val="2"/>
        </w:numPr>
        <w:spacing w:after="0" w:line="276" w:lineRule="auto"/>
        <w:jc w:val="both"/>
        <w:rPr>
          <w:rFonts w:ascii="Arial" w:eastAsia="Arial" w:hAnsi="Arial" w:cs="Arial"/>
          <w:color w:val="2D2D2D"/>
          <w:sz w:val="21"/>
          <w:szCs w:val="21"/>
          <w:lang w:val="en-US"/>
        </w:rPr>
      </w:pPr>
      <w:r w:rsidRPr="009B283B">
        <w:rPr>
          <w:rFonts w:ascii="Arial" w:eastAsia="Arial" w:hAnsi="Arial" w:cs="Arial"/>
          <w:color w:val="2D2D2D"/>
          <w:sz w:val="21"/>
          <w:szCs w:val="21"/>
          <w:lang w:val="en-US"/>
        </w:rPr>
        <w:t>Experience supporting IPO or pre-IPO readiness activities including SOX-related controls, enhanced reporting requirements, and audit preparation.</w:t>
      </w:r>
    </w:p>
    <w:p w14:paraId="7DE34169" w14:textId="77777777" w:rsidR="00E03221" w:rsidRPr="009B283B" w:rsidRDefault="00E03221" w:rsidP="00E03221">
      <w:pPr>
        <w:numPr>
          <w:ilvl w:val="0"/>
          <w:numId w:val="2"/>
        </w:numPr>
        <w:spacing w:after="0" w:line="276" w:lineRule="auto"/>
        <w:jc w:val="both"/>
        <w:rPr>
          <w:rFonts w:ascii="Arial" w:eastAsia="Arial" w:hAnsi="Arial" w:cs="Arial"/>
          <w:color w:val="2D2D2D"/>
          <w:sz w:val="21"/>
          <w:szCs w:val="21"/>
          <w:lang w:val="en-US"/>
        </w:rPr>
      </w:pPr>
      <w:r w:rsidRPr="009B283B">
        <w:rPr>
          <w:rFonts w:ascii="Arial" w:eastAsia="Arial" w:hAnsi="Arial" w:cs="Arial"/>
          <w:color w:val="2D2D2D"/>
          <w:sz w:val="21"/>
          <w:szCs w:val="21"/>
          <w:lang w:val="en-US"/>
        </w:rPr>
        <w:t>Prior experience in venture-backed or high-growth biotech or life sciences companies.</w:t>
      </w:r>
    </w:p>
    <w:p w14:paraId="12515155" w14:textId="77777777" w:rsidR="00E03221" w:rsidRPr="009B283B" w:rsidRDefault="00E03221" w:rsidP="00E03221">
      <w:pPr>
        <w:numPr>
          <w:ilvl w:val="0"/>
          <w:numId w:val="2"/>
        </w:numPr>
        <w:spacing w:after="0" w:line="276" w:lineRule="auto"/>
        <w:jc w:val="both"/>
        <w:rPr>
          <w:rFonts w:ascii="Arial" w:eastAsia="Arial" w:hAnsi="Arial" w:cs="Arial"/>
          <w:color w:val="2D2D2D"/>
          <w:sz w:val="21"/>
          <w:szCs w:val="21"/>
          <w:lang w:val="en-US"/>
        </w:rPr>
      </w:pPr>
      <w:r w:rsidRPr="009B283B">
        <w:rPr>
          <w:rFonts w:ascii="Arial" w:eastAsia="Arial" w:hAnsi="Arial" w:cs="Arial"/>
          <w:color w:val="2D2D2D"/>
          <w:sz w:val="21"/>
          <w:szCs w:val="21"/>
          <w:lang w:val="en-US"/>
        </w:rPr>
        <w:t>Experience managing or mentoring accounting team members.</w:t>
      </w:r>
    </w:p>
    <w:p w14:paraId="54A9EAD7" w14:textId="77777777" w:rsidR="00E03221" w:rsidRDefault="00E03221" w:rsidP="00E03221">
      <w:pPr>
        <w:spacing w:after="0" w:line="276" w:lineRule="auto"/>
        <w:ind w:left="720"/>
        <w:jc w:val="both"/>
        <w:rPr>
          <w:rFonts w:ascii="Arial" w:hAnsi="Arial" w:cs="Arial"/>
          <w:color w:val="2D2D2D"/>
          <w:sz w:val="21"/>
          <w:szCs w:val="21"/>
          <w:lang w:val="en-US" w:eastAsia="ko-KR"/>
        </w:rPr>
      </w:pPr>
    </w:p>
    <w:p w14:paraId="15A32674" w14:textId="77777777" w:rsidR="00E03221" w:rsidRPr="009B283B" w:rsidRDefault="00E03221" w:rsidP="00E03221">
      <w:pPr>
        <w:spacing w:after="0" w:line="276" w:lineRule="auto"/>
        <w:jc w:val="both"/>
        <w:rPr>
          <w:rFonts w:ascii="Arial" w:hAnsi="Arial" w:cs="Arial"/>
          <w:color w:val="2D2D2D"/>
          <w:sz w:val="21"/>
          <w:szCs w:val="21"/>
          <w:lang w:val="en-US" w:eastAsia="ko-KR"/>
        </w:rPr>
      </w:pPr>
      <w:r w:rsidRPr="009B283B">
        <w:rPr>
          <w:rFonts w:ascii="Arial" w:hAnsi="Arial" w:cs="Arial"/>
          <w:b/>
          <w:bCs/>
          <w:color w:val="2D2D2D"/>
          <w:sz w:val="21"/>
          <w:szCs w:val="21"/>
          <w:lang w:val="en-US" w:eastAsia="ko-KR"/>
        </w:rPr>
        <w:t>Compensation</w:t>
      </w:r>
      <w:r>
        <w:rPr>
          <w:rFonts w:ascii="Arial" w:hAnsi="Arial" w:cs="Arial" w:hint="eastAsia"/>
          <w:b/>
          <w:bCs/>
          <w:color w:val="2D2D2D"/>
          <w:sz w:val="21"/>
          <w:szCs w:val="21"/>
          <w:lang w:val="en-US" w:eastAsia="ko-KR"/>
        </w:rPr>
        <w:t xml:space="preserve"> and benefits</w:t>
      </w:r>
    </w:p>
    <w:p w14:paraId="2F06FCA5" w14:textId="77777777" w:rsidR="00E03221" w:rsidRDefault="00E03221" w:rsidP="00E03221">
      <w:pPr>
        <w:spacing w:after="0" w:line="276" w:lineRule="auto"/>
        <w:jc w:val="both"/>
        <w:rPr>
          <w:rFonts w:ascii="Arial" w:hAnsi="Arial" w:cs="Arial"/>
          <w:color w:val="2D2D2D"/>
          <w:sz w:val="21"/>
          <w:szCs w:val="21"/>
          <w:lang w:val="en-US" w:eastAsia="ko-KR"/>
        </w:rPr>
      </w:pPr>
      <w:r w:rsidRPr="009B283B">
        <w:rPr>
          <w:rFonts w:ascii="Arial" w:hAnsi="Arial" w:cs="Arial"/>
          <w:color w:val="2D2D2D"/>
          <w:sz w:val="21"/>
          <w:szCs w:val="21"/>
          <w:lang w:val="en-US" w:eastAsia="ko-KR"/>
        </w:rPr>
        <w:t>Pinetree Therapeutics offers a highly competitive compensation and benefits package, including equity participation that reflects the strategic importance of this role and provides the opportunity to share in the company’s long-term growth and success. Benefits include medical and dental insurance, paid time off, and a 401(k) plan with a generous company match.</w:t>
      </w:r>
    </w:p>
    <w:p w14:paraId="3A170AE0" w14:textId="77777777" w:rsidR="00E03221" w:rsidRDefault="00E03221" w:rsidP="00E03221">
      <w:pPr>
        <w:spacing w:after="0" w:line="276" w:lineRule="auto"/>
        <w:jc w:val="both"/>
        <w:rPr>
          <w:rFonts w:ascii="Arial" w:hAnsi="Arial" w:cs="Arial"/>
          <w:i/>
          <w:sz w:val="21"/>
          <w:szCs w:val="21"/>
          <w:highlight w:val="white"/>
          <w:lang w:eastAsia="ko-KR"/>
        </w:rPr>
      </w:pPr>
    </w:p>
    <w:p w14:paraId="2109116A" w14:textId="77777777" w:rsidR="00E03221" w:rsidRPr="00E03221" w:rsidRDefault="00E03221" w:rsidP="00E03221">
      <w:pPr>
        <w:spacing w:after="0" w:line="276" w:lineRule="auto"/>
        <w:jc w:val="both"/>
        <w:rPr>
          <w:rFonts w:ascii="Arial" w:eastAsia="Arial" w:hAnsi="Arial" w:cs="Arial"/>
          <w:i/>
          <w:sz w:val="21"/>
          <w:szCs w:val="21"/>
          <w:highlight w:val="white"/>
        </w:rPr>
      </w:pPr>
      <w:r w:rsidRPr="00E03221">
        <w:rPr>
          <w:rFonts w:ascii="Arial" w:eastAsia="Arial" w:hAnsi="Arial" w:cs="Arial"/>
          <w:i/>
          <w:sz w:val="21"/>
          <w:szCs w:val="21"/>
          <w:highlight w:val="white"/>
        </w:rPr>
        <w:t>Pinetree is committed to equal employment opportunity and non-discrimination for all employees and qualified applicants without regard to a person’s race, color, gender, age, religion, national origin, ancestry, disability, veteran status, genetic information, sexual orientation or any characteristic protected under applicable law. Pinetree will make reasonable accommodations for qualified individuals with known disabilities, in accordance with applicable law.</w:t>
      </w:r>
    </w:p>
    <w:p w14:paraId="73EDC168" w14:textId="77777777" w:rsidR="00E03221" w:rsidRPr="00E03221" w:rsidRDefault="00E03221" w:rsidP="00E03221">
      <w:pPr>
        <w:spacing w:after="0" w:line="276" w:lineRule="auto"/>
        <w:jc w:val="both"/>
        <w:rPr>
          <w:rFonts w:ascii="Arial" w:eastAsia="Arial" w:hAnsi="Arial" w:cs="Arial"/>
          <w:i/>
          <w:sz w:val="21"/>
          <w:szCs w:val="21"/>
          <w:highlight w:val="white"/>
        </w:rPr>
      </w:pPr>
    </w:p>
    <w:p w14:paraId="0321B1F0" w14:textId="77777777" w:rsidR="00E03221" w:rsidRPr="00E03221" w:rsidRDefault="00E03221" w:rsidP="00E03221">
      <w:pPr>
        <w:spacing w:after="0" w:line="276" w:lineRule="auto"/>
        <w:jc w:val="both"/>
        <w:rPr>
          <w:i/>
          <w:sz w:val="21"/>
          <w:szCs w:val="21"/>
        </w:rPr>
      </w:pPr>
      <w:r w:rsidRPr="00E03221">
        <w:rPr>
          <w:rFonts w:ascii="Arial" w:eastAsia="Arial" w:hAnsi="Arial" w:cs="Arial"/>
          <w:i/>
          <w:sz w:val="21"/>
          <w:szCs w:val="21"/>
          <w:highlight w:val="white"/>
        </w:rPr>
        <w:t>Recruitment &amp; Staffing Agencies: Pinetree does not accept unsolicited resumes from any source other than candidates. Any resume submitted by an agency in the absence of a signed agreement will automatically become the property of Pinetree, and Pinetree will not owe any referral or other fees with respect thereto.</w:t>
      </w:r>
    </w:p>
    <w:p w14:paraId="542DCCAC" w14:textId="77777777" w:rsidR="008D587F" w:rsidRPr="008D587F" w:rsidRDefault="008D587F">
      <w:pPr>
        <w:rPr>
          <w:rFonts w:ascii="Times New Roman" w:hAnsi="Times New Roman" w:cs="Times New Roman"/>
        </w:rPr>
      </w:pPr>
    </w:p>
    <w:sectPr w:rsidR="008D587F" w:rsidRPr="008D587F" w:rsidSect="00544889">
      <w:headerReference w:type="default" r:id="rId7"/>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CC13" w14:textId="77777777" w:rsidR="002559A6" w:rsidRDefault="002559A6" w:rsidP="00413C3D">
      <w:pPr>
        <w:spacing w:after="0"/>
      </w:pPr>
      <w:r>
        <w:separator/>
      </w:r>
    </w:p>
  </w:endnote>
  <w:endnote w:type="continuationSeparator" w:id="0">
    <w:p w14:paraId="01451229" w14:textId="77777777" w:rsidR="002559A6" w:rsidRDefault="002559A6" w:rsidP="00413C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C15E" w14:textId="77777777" w:rsidR="002559A6" w:rsidRDefault="002559A6" w:rsidP="00413C3D">
      <w:pPr>
        <w:spacing w:after="0"/>
      </w:pPr>
      <w:r>
        <w:separator/>
      </w:r>
    </w:p>
  </w:footnote>
  <w:footnote w:type="continuationSeparator" w:id="0">
    <w:p w14:paraId="4525F058" w14:textId="77777777" w:rsidR="002559A6" w:rsidRDefault="002559A6" w:rsidP="00413C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160"/>
      <w:gridCol w:w="3600"/>
    </w:tblGrid>
    <w:tr w:rsidR="00413C3D" w:rsidRPr="007A52AC" w14:paraId="0067BFDA" w14:textId="77777777" w:rsidTr="009F6511">
      <w:trPr>
        <w:trHeight w:val="144"/>
      </w:trPr>
      <w:tc>
        <w:tcPr>
          <w:tcW w:w="3600" w:type="dxa"/>
          <w:vAlign w:val="center"/>
        </w:tcPr>
        <w:p w14:paraId="639C20C0" w14:textId="77777777" w:rsidR="00413C3D" w:rsidRPr="007A52AC" w:rsidRDefault="00413C3D" w:rsidP="00413C3D">
          <w:pPr>
            <w:pStyle w:val="Header"/>
            <w:rPr>
              <w:rFonts w:asciiTheme="minorHAnsi" w:hAnsiTheme="minorHAnsi" w:cstheme="minorHAnsi"/>
            </w:rPr>
          </w:pPr>
          <w:r w:rsidRPr="007A52AC">
            <w:rPr>
              <w:rFonts w:asciiTheme="minorHAnsi" w:hAnsiTheme="minorHAnsi" w:cstheme="minorHAnsi"/>
            </w:rPr>
            <w:t>Pinetree Therapeutics, Inc.</w:t>
          </w:r>
        </w:p>
      </w:tc>
      <w:tc>
        <w:tcPr>
          <w:tcW w:w="2160" w:type="dxa"/>
          <w:vMerge w:val="restart"/>
        </w:tcPr>
        <w:p w14:paraId="77A1511F" w14:textId="77777777" w:rsidR="00413C3D" w:rsidRPr="007A52AC" w:rsidRDefault="00413C3D" w:rsidP="00413C3D">
          <w:pPr>
            <w:pStyle w:val="Header"/>
            <w:jc w:val="center"/>
            <w:rPr>
              <w:rFonts w:asciiTheme="minorHAnsi" w:eastAsia="Malgun Gothic" w:hAnsiTheme="minorHAnsi" w:cstheme="minorHAnsi"/>
              <w:lang w:eastAsia="ko-KR"/>
            </w:rPr>
          </w:pPr>
          <w:r>
            <w:rPr>
              <w:rFonts w:eastAsia="Malgun Gothic" w:cstheme="minorHAnsi"/>
              <w:noProof/>
            </w:rPr>
            <w:drawing>
              <wp:anchor distT="0" distB="0" distL="114300" distR="114300" simplePos="0" relativeHeight="251659264" behindDoc="0" locked="0" layoutInCell="1" allowOverlap="1" wp14:anchorId="70ABC899" wp14:editId="4CD45E71">
                <wp:simplePos x="0" y="0"/>
                <wp:positionH relativeFrom="column">
                  <wp:posOffset>213995</wp:posOffset>
                </wp:positionH>
                <wp:positionV relativeFrom="paragraph">
                  <wp:posOffset>133350</wp:posOffset>
                </wp:positionV>
                <wp:extent cx="790575" cy="531495"/>
                <wp:effectExtent l="0" t="0" r="9525" b="1905"/>
                <wp:wrapThrough wrapText="bothSides">
                  <wp:wrapPolygon edited="0">
                    <wp:start x="5205" y="0"/>
                    <wp:lineTo x="0" y="3871"/>
                    <wp:lineTo x="0" y="13935"/>
                    <wp:lineTo x="3123" y="20903"/>
                    <wp:lineTo x="10410" y="20903"/>
                    <wp:lineTo x="14053" y="20129"/>
                    <wp:lineTo x="14573" y="14710"/>
                    <wp:lineTo x="21340" y="10839"/>
                    <wp:lineTo x="21340" y="3097"/>
                    <wp:lineTo x="8848" y="0"/>
                    <wp:lineTo x="5205" y="0"/>
                  </wp:wrapPolygon>
                </wp:wrapThrough>
                <wp:docPr id="75039308" name="Picture 5" descr="A colorful triangles in different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9308" name="Picture 5" descr="A colorful triangles in different colors&#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314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00" w:type="dxa"/>
          <w:vAlign w:val="center"/>
        </w:tcPr>
        <w:p w14:paraId="02B1F745" w14:textId="77777777" w:rsidR="00413C3D" w:rsidRPr="007A52AC" w:rsidRDefault="00413C3D" w:rsidP="00413C3D">
          <w:pPr>
            <w:pStyle w:val="Header"/>
            <w:jc w:val="right"/>
            <w:rPr>
              <w:rFonts w:asciiTheme="minorHAnsi" w:hAnsiTheme="minorHAnsi" w:cstheme="minorHAnsi"/>
            </w:rPr>
          </w:pPr>
          <w:r w:rsidRPr="007A52AC">
            <w:rPr>
              <w:rFonts w:asciiTheme="minorHAnsi" w:hAnsiTheme="minorHAnsi" w:cstheme="minorHAnsi"/>
            </w:rPr>
            <w:t>West Cambridge Science Park</w:t>
          </w:r>
        </w:p>
      </w:tc>
    </w:tr>
    <w:tr w:rsidR="00413C3D" w:rsidRPr="007A52AC" w14:paraId="72E90CD8" w14:textId="77777777" w:rsidTr="009F6511">
      <w:trPr>
        <w:trHeight w:val="144"/>
      </w:trPr>
      <w:tc>
        <w:tcPr>
          <w:tcW w:w="3600" w:type="dxa"/>
          <w:vAlign w:val="center"/>
        </w:tcPr>
        <w:p w14:paraId="2737C100" w14:textId="77777777" w:rsidR="00413C3D" w:rsidRPr="007A52AC" w:rsidRDefault="00413C3D" w:rsidP="00413C3D">
          <w:pPr>
            <w:pStyle w:val="Header"/>
            <w:rPr>
              <w:rFonts w:asciiTheme="minorHAnsi" w:hAnsiTheme="minorHAnsi" w:cstheme="minorHAnsi"/>
            </w:rPr>
          </w:pPr>
          <w:r w:rsidRPr="007A52AC">
            <w:rPr>
              <w:rFonts w:asciiTheme="minorHAnsi" w:hAnsiTheme="minorHAnsi" w:cstheme="minorHAnsi"/>
            </w:rPr>
            <w:t>Disruptive Innovations</w:t>
          </w:r>
        </w:p>
      </w:tc>
      <w:tc>
        <w:tcPr>
          <w:tcW w:w="2160" w:type="dxa"/>
          <w:vMerge/>
          <w:vAlign w:val="center"/>
        </w:tcPr>
        <w:p w14:paraId="20F3ED52" w14:textId="77777777" w:rsidR="00413C3D" w:rsidRPr="007A52AC" w:rsidRDefault="00413C3D" w:rsidP="00413C3D">
          <w:pPr>
            <w:pStyle w:val="Header"/>
            <w:rPr>
              <w:rFonts w:asciiTheme="minorHAnsi" w:hAnsiTheme="minorHAnsi" w:cstheme="minorHAnsi"/>
            </w:rPr>
          </w:pPr>
        </w:p>
      </w:tc>
      <w:tc>
        <w:tcPr>
          <w:tcW w:w="3600" w:type="dxa"/>
          <w:vAlign w:val="center"/>
        </w:tcPr>
        <w:p w14:paraId="48E42194" w14:textId="77777777" w:rsidR="00413C3D" w:rsidRPr="007A52AC" w:rsidRDefault="00413C3D" w:rsidP="00413C3D">
          <w:pPr>
            <w:pStyle w:val="Header"/>
            <w:jc w:val="right"/>
            <w:rPr>
              <w:rFonts w:asciiTheme="minorHAnsi" w:hAnsiTheme="minorHAnsi" w:cstheme="minorHAnsi"/>
            </w:rPr>
          </w:pPr>
          <w:r w:rsidRPr="007A52AC">
            <w:rPr>
              <w:rFonts w:asciiTheme="minorHAnsi" w:hAnsiTheme="minorHAnsi" w:cstheme="minorHAnsi"/>
            </w:rPr>
            <w:t>767 Concord Ave</w:t>
          </w:r>
        </w:p>
      </w:tc>
    </w:tr>
    <w:tr w:rsidR="00413C3D" w:rsidRPr="007A52AC" w14:paraId="736AD8C6" w14:textId="77777777" w:rsidTr="009F6511">
      <w:trPr>
        <w:trHeight w:val="144"/>
      </w:trPr>
      <w:tc>
        <w:tcPr>
          <w:tcW w:w="3600" w:type="dxa"/>
          <w:vAlign w:val="center"/>
        </w:tcPr>
        <w:p w14:paraId="719EB1C0" w14:textId="77777777" w:rsidR="00413C3D" w:rsidRPr="007A52AC" w:rsidRDefault="00413C3D" w:rsidP="00413C3D">
          <w:pPr>
            <w:pStyle w:val="Header"/>
            <w:rPr>
              <w:rFonts w:asciiTheme="minorHAnsi" w:hAnsiTheme="minorHAnsi" w:cstheme="minorHAnsi"/>
            </w:rPr>
          </w:pPr>
          <w:r w:rsidRPr="007A52AC">
            <w:rPr>
              <w:rFonts w:asciiTheme="minorHAnsi" w:hAnsiTheme="minorHAnsi" w:cstheme="minorHAnsi"/>
            </w:rPr>
            <w:t>AbReptor</w:t>
          </w:r>
          <w:r w:rsidRPr="001724C6">
            <w:rPr>
              <w:rFonts w:asciiTheme="minorHAnsi" w:hAnsiTheme="minorHAnsi" w:cstheme="minorHAnsi"/>
              <w:vertAlign w:val="superscript"/>
            </w:rPr>
            <w:t>TM</w:t>
          </w:r>
          <w:r w:rsidRPr="007A52AC">
            <w:rPr>
              <w:rFonts w:asciiTheme="minorHAnsi" w:hAnsiTheme="minorHAnsi" w:cstheme="minorHAnsi"/>
            </w:rPr>
            <w:t>, Targeted Protein</w:t>
          </w:r>
        </w:p>
      </w:tc>
      <w:tc>
        <w:tcPr>
          <w:tcW w:w="2160" w:type="dxa"/>
          <w:vMerge/>
          <w:vAlign w:val="center"/>
        </w:tcPr>
        <w:p w14:paraId="7016198B" w14:textId="77777777" w:rsidR="00413C3D" w:rsidRPr="007A52AC" w:rsidRDefault="00413C3D" w:rsidP="00413C3D">
          <w:pPr>
            <w:pStyle w:val="Header"/>
            <w:rPr>
              <w:rFonts w:asciiTheme="minorHAnsi" w:hAnsiTheme="minorHAnsi" w:cstheme="minorHAnsi"/>
            </w:rPr>
          </w:pPr>
        </w:p>
      </w:tc>
      <w:tc>
        <w:tcPr>
          <w:tcW w:w="3600" w:type="dxa"/>
          <w:vAlign w:val="center"/>
        </w:tcPr>
        <w:p w14:paraId="1ADEE102" w14:textId="77777777" w:rsidR="00413C3D" w:rsidRPr="007A52AC" w:rsidRDefault="00413C3D" w:rsidP="00413C3D">
          <w:pPr>
            <w:pStyle w:val="Header"/>
            <w:jc w:val="right"/>
            <w:rPr>
              <w:rFonts w:asciiTheme="minorHAnsi" w:hAnsiTheme="minorHAnsi" w:cstheme="minorHAnsi"/>
            </w:rPr>
          </w:pPr>
          <w:r w:rsidRPr="007A52AC">
            <w:rPr>
              <w:rFonts w:asciiTheme="minorHAnsi" w:hAnsiTheme="minorHAnsi" w:cstheme="minorHAnsi"/>
            </w:rPr>
            <w:t>Cambridge, MA 02138, USA</w:t>
          </w:r>
        </w:p>
      </w:tc>
    </w:tr>
    <w:tr w:rsidR="00413C3D" w:rsidRPr="007A52AC" w14:paraId="50DB1DDF" w14:textId="77777777" w:rsidTr="009F6511">
      <w:trPr>
        <w:trHeight w:val="144"/>
      </w:trPr>
      <w:tc>
        <w:tcPr>
          <w:tcW w:w="3600" w:type="dxa"/>
          <w:vAlign w:val="center"/>
        </w:tcPr>
        <w:p w14:paraId="650B15F8" w14:textId="77777777" w:rsidR="00413C3D" w:rsidRPr="007A52AC" w:rsidRDefault="00413C3D" w:rsidP="00413C3D">
          <w:pPr>
            <w:pStyle w:val="Header"/>
            <w:rPr>
              <w:rFonts w:asciiTheme="minorHAnsi" w:hAnsiTheme="minorHAnsi" w:cstheme="minorHAnsi"/>
            </w:rPr>
          </w:pPr>
          <w:r w:rsidRPr="007A52AC">
            <w:rPr>
              <w:rFonts w:asciiTheme="minorHAnsi" w:hAnsiTheme="minorHAnsi" w:cstheme="minorHAnsi"/>
            </w:rPr>
            <w:t>Degradation Platform, to</w:t>
          </w:r>
        </w:p>
      </w:tc>
      <w:tc>
        <w:tcPr>
          <w:tcW w:w="2160" w:type="dxa"/>
          <w:vMerge/>
          <w:vAlign w:val="center"/>
        </w:tcPr>
        <w:p w14:paraId="7556B69D" w14:textId="77777777" w:rsidR="00413C3D" w:rsidRPr="007A52AC" w:rsidRDefault="00413C3D" w:rsidP="00413C3D">
          <w:pPr>
            <w:pStyle w:val="Header"/>
            <w:rPr>
              <w:rFonts w:asciiTheme="minorHAnsi" w:hAnsiTheme="minorHAnsi" w:cstheme="minorHAnsi"/>
            </w:rPr>
          </w:pPr>
        </w:p>
      </w:tc>
      <w:tc>
        <w:tcPr>
          <w:tcW w:w="3600" w:type="dxa"/>
          <w:vAlign w:val="center"/>
        </w:tcPr>
        <w:p w14:paraId="1AA897FA" w14:textId="77777777" w:rsidR="00413C3D" w:rsidRPr="007A52AC" w:rsidRDefault="00413C3D" w:rsidP="00413C3D">
          <w:pPr>
            <w:pStyle w:val="Header"/>
            <w:jc w:val="right"/>
            <w:rPr>
              <w:rFonts w:asciiTheme="minorHAnsi" w:hAnsiTheme="minorHAnsi" w:cstheme="minorHAnsi"/>
            </w:rPr>
          </w:pPr>
          <w:r w:rsidRPr="007A52AC">
            <w:rPr>
              <w:rFonts w:asciiTheme="minorHAnsi" w:hAnsiTheme="minorHAnsi" w:cstheme="minorHAnsi"/>
            </w:rPr>
            <w:t>Phone) +1-617-945-2309</w:t>
          </w:r>
        </w:p>
      </w:tc>
    </w:tr>
    <w:tr w:rsidR="00413C3D" w:rsidRPr="007A52AC" w14:paraId="2FD9323E" w14:textId="77777777" w:rsidTr="009F6511">
      <w:trPr>
        <w:trHeight w:val="144"/>
      </w:trPr>
      <w:tc>
        <w:tcPr>
          <w:tcW w:w="3600" w:type="dxa"/>
          <w:vAlign w:val="center"/>
        </w:tcPr>
        <w:p w14:paraId="0115DBDE" w14:textId="77777777" w:rsidR="00413C3D" w:rsidRPr="007A52AC" w:rsidRDefault="00413C3D" w:rsidP="00413C3D">
          <w:pPr>
            <w:pStyle w:val="Header"/>
            <w:rPr>
              <w:rFonts w:asciiTheme="minorHAnsi" w:eastAsia="Malgun Gothic" w:hAnsiTheme="minorHAnsi" w:cstheme="minorHAnsi"/>
              <w:lang w:eastAsia="ko-KR"/>
            </w:rPr>
          </w:pPr>
          <w:r w:rsidRPr="007A52AC">
            <w:rPr>
              <w:rFonts w:asciiTheme="minorHAnsi" w:eastAsia="Malgun Gothic" w:hAnsiTheme="minorHAnsi" w:cstheme="minorHAnsi"/>
              <w:lang w:eastAsia="ko-KR"/>
            </w:rPr>
            <w:t>Treat Unmet Therapeutics Needs</w:t>
          </w:r>
        </w:p>
      </w:tc>
      <w:tc>
        <w:tcPr>
          <w:tcW w:w="2160" w:type="dxa"/>
          <w:vMerge/>
          <w:vAlign w:val="center"/>
        </w:tcPr>
        <w:p w14:paraId="3EA07DAF" w14:textId="77777777" w:rsidR="00413C3D" w:rsidRPr="007A52AC" w:rsidRDefault="00413C3D" w:rsidP="00413C3D">
          <w:pPr>
            <w:pStyle w:val="Header"/>
            <w:rPr>
              <w:rFonts w:asciiTheme="minorHAnsi" w:hAnsiTheme="minorHAnsi" w:cstheme="minorHAnsi"/>
            </w:rPr>
          </w:pPr>
        </w:p>
      </w:tc>
      <w:tc>
        <w:tcPr>
          <w:tcW w:w="3600" w:type="dxa"/>
          <w:vAlign w:val="center"/>
        </w:tcPr>
        <w:p w14:paraId="2E027898" w14:textId="77777777" w:rsidR="00413C3D" w:rsidRPr="007A52AC" w:rsidRDefault="00413C3D" w:rsidP="00413C3D">
          <w:pPr>
            <w:pStyle w:val="Header"/>
            <w:jc w:val="right"/>
            <w:rPr>
              <w:rFonts w:asciiTheme="minorHAnsi" w:eastAsia="Malgun Gothic" w:hAnsiTheme="minorHAnsi" w:cstheme="minorHAnsi"/>
              <w:lang w:eastAsia="ko-KR"/>
            </w:rPr>
          </w:pPr>
          <w:r w:rsidRPr="007A52AC">
            <w:rPr>
              <w:rFonts w:asciiTheme="minorHAnsi" w:eastAsia="Malgun Gothic" w:hAnsiTheme="minorHAnsi" w:cstheme="minorHAnsi"/>
              <w:lang w:eastAsia="ko-KR"/>
            </w:rPr>
            <w:t>https://www.pinetreetx.com/</w:t>
          </w:r>
        </w:p>
      </w:tc>
    </w:tr>
  </w:tbl>
  <w:p w14:paraId="64209489" w14:textId="77777777" w:rsidR="00413C3D" w:rsidRDefault="00413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C6CC3"/>
    <w:multiLevelType w:val="multilevel"/>
    <w:tmpl w:val="932C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90C97"/>
    <w:multiLevelType w:val="multilevel"/>
    <w:tmpl w:val="63F2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691948">
    <w:abstractNumId w:val="0"/>
  </w:num>
  <w:num w:numId="2" w16cid:durableId="578684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3D"/>
    <w:rsid w:val="000B014C"/>
    <w:rsid w:val="000F0922"/>
    <w:rsid w:val="001724C6"/>
    <w:rsid w:val="002559A6"/>
    <w:rsid w:val="002B2617"/>
    <w:rsid w:val="00413C3D"/>
    <w:rsid w:val="004333AE"/>
    <w:rsid w:val="0048646B"/>
    <w:rsid w:val="004D2525"/>
    <w:rsid w:val="005307E8"/>
    <w:rsid w:val="00544889"/>
    <w:rsid w:val="005D1C0A"/>
    <w:rsid w:val="00630EB1"/>
    <w:rsid w:val="0070369C"/>
    <w:rsid w:val="00751638"/>
    <w:rsid w:val="007B751E"/>
    <w:rsid w:val="008046DF"/>
    <w:rsid w:val="00883939"/>
    <w:rsid w:val="008D587F"/>
    <w:rsid w:val="009572DD"/>
    <w:rsid w:val="00A06445"/>
    <w:rsid w:val="00C75528"/>
    <w:rsid w:val="00D00242"/>
    <w:rsid w:val="00DF6B7B"/>
    <w:rsid w:val="00E03221"/>
    <w:rsid w:val="00EA7DBD"/>
    <w:rsid w:val="00FF6E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966ED"/>
  <w15:chartTrackingRefBased/>
  <w15:docId w15:val="{24909AA9-D7E7-40EC-A6E7-11709A1A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21"/>
    <w:pPr>
      <w:spacing w:after="200" w:line="240" w:lineRule="auto"/>
    </w:pPr>
    <w:rPr>
      <w:rFonts w:ascii="Verdana" w:hAnsi="Verdana" w:cs="Verdana"/>
      <w:kern w:val="0"/>
      <w:lang w:val="en-GB" w:eastAsia="en-US"/>
      <w14:ligatures w14:val="none"/>
    </w:rPr>
  </w:style>
  <w:style w:type="paragraph" w:styleId="Heading1">
    <w:name w:val="heading 1"/>
    <w:basedOn w:val="Normal"/>
    <w:next w:val="Normal"/>
    <w:link w:val="Heading1Char"/>
    <w:uiPriority w:val="9"/>
    <w:qFormat/>
    <w:rsid w:val="00413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C3D"/>
    <w:rPr>
      <w:rFonts w:eastAsiaTheme="majorEastAsia" w:cstheme="majorBidi"/>
      <w:color w:val="272727" w:themeColor="text1" w:themeTint="D8"/>
    </w:rPr>
  </w:style>
  <w:style w:type="paragraph" w:styleId="Title">
    <w:name w:val="Title"/>
    <w:basedOn w:val="Normal"/>
    <w:next w:val="Normal"/>
    <w:link w:val="TitleChar"/>
    <w:uiPriority w:val="10"/>
    <w:qFormat/>
    <w:rsid w:val="00413C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C3D"/>
    <w:pPr>
      <w:spacing w:before="160"/>
      <w:jc w:val="center"/>
    </w:pPr>
    <w:rPr>
      <w:i/>
      <w:iCs/>
      <w:color w:val="404040" w:themeColor="text1" w:themeTint="BF"/>
    </w:rPr>
  </w:style>
  <w:style w:type="character" w:customStyle="1" w:styleId="QuoteChar">
    <w:name w:val="Quote Char"/>
    <w:basedOn w:val="DefaultParagraphFont"/>
    <w:link w:val="Quote"/>
    <w:uiPriority w:val="29"/>
    <w:rsid w:val="00413C3D"/>
    <w:rPr>
      <w:i/>
      <w:iCs/>
      <w:color w:val="404040" w:themeColor="text1" w:themeTint="BF"/>
    </w:rPr>
  </w:style>
  <w:style w:type="paragraph" w:styleId="ListParagraph">
    <w:name w:val="List Paragraph"/>
    <w:basedOn w:val="Normal"/>
    <w:uiPriority w:val="34"/>
    <w:qFormat/>
    <w:rsid w:val="00413C3D"/>
    <w:pPr>
      <w:ind w:left="720"/>
      <w:contextualSpacing/>
    </w:pPr>
  </w:style>
  <w:style w:type="character" w:styleId="IntenseEmphasis">
    <w:name w:val="Intense Emphasis"/>
    <w:basedOn w:val="DefaultParagraphFont"/>
    <w:uiPriority w:val="21"/>
    <w:qFormat/>
    <w:rsid w:val="00413C3D"/>
    <w:rPr>
      <w:i/>
      <w:iCs/>
      <w:color w:val="0F4761" w:themeColor="accent1" w:themeShade="BF"/>
    </w:rPr>
  </w:style>
  <w:style w:type="paragraph" w:styleId="IntenseQuote">
    <w:name w:val="Intense Quote"/>
    <w:basedOn w:val="Normal"/>
    <w:next w:val="Normal"/>
    <w:link w:val="IntenseQuoteChar"/>
    <w:uiPriority w:val="30"/>
    <w:qFormat/>
    <w:rsid w:val="00413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C3D"/>
    <w:rPr>
      <w:i/>
      <w:iCs/>
      <w:color w:val="0F4761" w:themeColor="accent1" w:themeShade="BF"/>
    </w:rPr>
  </w:style>
  <w:style w:type="character" w:styleId="IntenseReference">
    <w:name w:val="Intense Reference"/>
    <w:basedOn w:val="DefaultParagraphFont"/>
    <w:uiPriority w:val="32"/>
    <w:qFormat/>
    <w:rsid w:val="00413C3D"/>
    <w:rPr>
      <w:b/>
      <w:bCs/>
      <w:smallCaps/>
      <w:color w:val="0F4761" w:themeColor="accent1" w:themeShade="BF"/>
      <w:spacing w:val="5"/>
    </w:rPr>
  </w:style>
  <w:style w:type="paragraph" w:styleId="Header">
    <w:name w:val="header"/>
    <w:basedOn w:val="Normal"/>
    <w:link w:val="HeaderChar"/>
    <w:unhideWhenUsed/>
    <w:rsid w:val="00413C3D"/>
    <w:pPr>
      <w:tabs>
        <w:tab w:val="center" w:pos="4680"/>
        <w:tab w:val="right" w:pos="9360"/>
      </w:tabs>
      <w:spacing w:after="0"/>
    </w:pPr>
  </w:style>
  <w:style w:type="character" w:customStyle="1" w:styleId="HeaderChar">
    <w:name w:val="Header Char"/>
    <w:basedOn w:val="DefaultParagraphFont"/>
    <w:link w:val="Header"/>
    <w:uiPriority w:val="99"/>
    <w:rsid w:val="00413C3D"/>
  </w:style>
  <w:style w:type="paragraph" w:styleId="Footer">
    <w:name w:val="footer"/>
    <w:basedOn w:val="Normal"/>
    <w:link w:val="FooterChar"/>
    <w:uiPriority w:val="99"/>
    <w:unhideWhenUsed/>
    <w:rsid w:val="00413C3D"/>
    <w:pPr>
      <w:tabs>
        <w:tab w:val="center" w:pos="4680"/>
        <w:tab w:val="right" w:pos="9360"/>
      </w:tabs>
      <w:spacing w:after="0"/>
    </w:pPr>
  </w:style>
  <w:style w:type="character" w:customStyle="1" w:styleId="FooterChar">
    <w:name w:val="Footer Char"/>
    <w:basedOn w:val="DefaultParagraphFont"/>
    <w:link w:val="Footer"/>
    <w:uiPriority w:val="99"/>
    <w:rsid w:val="00413C3D"/>
  </w:style>
  <w:style w:type="table" w:styleId="TableGrid">
    <w:name w:val="Table Grid"/>
    <w:basedOn w:val="TableNormal"/>
    <w:rsid w:val="00413C3D"/>
    <w:pPr>
      <w:spacing w:after="0" w:line="240" w:lineRule="auto"/>
    </w:pPr>
    <w:rPr>
      <w:rFonts w:ascii="Times New Roman" w:eastAsia="SimSu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4347</Characters>
  <Application>Microsoft Office Word</Application>
  <DocSecurity>0</DocSecurity>
  <Lines>36</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Kang</dc:creator>
  <cp:keywords/>
  <dc:description/>
  <cp:lastModifiedBy>Ho Juhn Song</cp:lastModifiedBy>
  <cp:revision>3</cp:revision>
  <dcterms:created xsi:type="dcterms:W3CDTF">2025-11-25T18:32:00Z</dcterms:created>
  <dcterms:modified xsi:type="dcterms:W3CDTF">2025-11-25T18:34:00Z</dcterms:modified>
</cp:coreProperties>
</file>